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2753A" w14:textId="7BBA40BF" w:rsidR="00B21DFA" w:rsidRDefault="0059244A">
      <w:r w:rsidRPr="00B21DFA">
        <w:rPr>
          <w:noProof/>
          <w:lang w:val="en-GB" w:eastAsia="en-GB"/>
        </w:rPr>
        <w:drawing>
          <wp:anchor distT="0" distB="0" distL="114300" distR="114300" simplePos="0" relativeHeight="251659264" behindDoc="0" locked="0" layoutInCell="1" allowOverlap="1" wp14:anchorId="242B41B8" wp14:editId="0B198F79">
            <wp:simplePos x="0" y="0"/>
            <wp:positionH relativeFrom="column">
              <wp:posOffset>-422031</wp:posOffset>
            </wp:positionH>
            <wp:positionV relativeFrom="paragraph">
              <wp:posOffset>-515815</wp:posOffset>
            </wp:positionV>
            <wp:extent cx="3024554" cy="663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3005" cy="667977"/>
                    </a:xfrm>
                    <a:prstGeom prst="rect">
                      <a:avLst/>
                    </a:prstGeom>
                  </pic:spPr>
                </pic:pic>
              </a:graphicData>
            </a:graphic>
            <wp14:sizeRelH relativeFrom="page">
              <wp14:pctWidth>0</wp14:pctWidth>
            </wp14:sizeRelH>
            <wp14:sizeRelV relativeFrom="page">
              <wp14:pctHeight>0</wp14:pctHeight>
            </wp14:sizeRelV>
          </wp:anchor>
        </w:drawing>
      </w:r>
    </w:p>
    <w:p w14:paraId="04118EF8" w14:textId="455B381E" w:rsidR="00B21DFA" w:rsidRPr="00B21DFA" w:rsidRDefault="00B21DFA" w:rsidP="00B21DFA"/>
    <w:p w14:paraId="5E9BDCE6" w14:textId="7994C8EB" w:rsidR="00B21DFA" w:rsidRPr="00B21DFA" w:rsidRDefault="00B21DFA" w:rsidP="00B21DFA"/>
    <w:p w14:paraId="5384BD3F" w14:textId="3053388B" w:rsidR="00BE3780" w:rsidRPr="00BE3780" w:rsidRDefault="00BE3780" w:rsidP="00BE3780">
      <w:pPr>
        <w:pBdr>
          <w:bottom w:val="single" w:sz="12" w:space="1" w:color="auto"/>
        </w:pBdr>
        <w:jc w:val="center"/>
        <w:rPr>
          <w:sz w:val="36"/>
          <w:szCs w:val="28"/>
        </w:rPr>
      </w:pPr>
      <w:r w:rsidRPr="00BE3780">
        <w:rPr>
          <w:noProof/>
          <w:sz w:val="32"/>
          <w:lang w:val="en-GB" w:eastAsia="en-GB"/>
        </w:rPr>
        <w:drawing>
          <wp:anchor distT="0" distB="0" distL="114300" distR="114300" simplePos="0" relativeHeight="251661312" behindDoc="1" locked="0" layoutInCell="1" allowOverlap="1" wp14:anchorId="1EE34C26" wp14:editId="45E24075">
            <wp:simplePos x="0" y="0"/>
            <wp:positionH relativeFrom="rightMargin">
              <wp:align>left</wp:align>
            </wp:positionH>
            <wp:positionV relativeFrom="paragraph">
              <wp:posOffset>65405</wp:posOffset>
            </wp:positionV>
            <wp:extent cx="888365" cy="7231380"/>
            <wp:effectExtent l="0" t="0" r="6985" b="7620"/>
            <wp:wrapTight wrapText="bothSides">
              <wp:wrapPolygon edited="0">
                <wp:start x="0" y="0"/>
                <wp:lineTo x="0" y="21566"/>
                <wp:lineTo x="21307" y="21566"/>
                <wp:lineTo x="213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88365" cy="7231380"/>
                    </a:xfrm>
                    <a:prstGeom prst="rect">
                      <a:avLst/>
                    </a:prstGeom>
                  </pic:spPr>
                </pic:pic>
              </a:graphicData>
            </a:graphic>
            <wp14:sizeRelH relativeFrom="page">
              <wp14:pctWidth>0</wp14:pctWidth>
            </wp14:sizeRelH>
            <wp14:sizeRelV relativeFrom="page">
              <wp14:pctHeight>0</wp14:pctHeight>
            </wp14:sizeRelV>
          </wp:anchor>
        </w:drawing>
      </w:r>
      <w:r w:rsidRPr="00BE3780">
        <w:rPr>
          <w:sz w:val="36"/>
          <w:szCs w:val="28"/>
        </w:rPr>
        <w:t>For Immediate Release</w:t>
      </w:r>
    </w:p>
    <w:p w14:paraId="265CF2C1" w14:textId="00F21381" w:rsidR="00BE3780" w:rsidRDefault="00BE3780" w:rsidP="00BE3780">
      <w:pPr>
        <w:pBdr>
          <w:bottom w:val="single" w:sz="12" w:space="1" w:color="auto"/>
        </w:pBdr>
        <w:rPr>
          <w:b/>
          <w:sz w:val="28"/>
          <w:szCs w:val="28"/>
        </w:rPr>
      </w:pPr>
    </w:p>
    <w:p w14:paraId="56D999EC" w14:textId="58BB9BC2" w:rsidR="00BE3780" w:rsidRPr="00DE2474" w:rsidRDefault="00BE3780" w:rsidP="00BE3780">
      <w:pPr>
        <w:pBdr>
          <w:bottom w:val="single" w:sz="12" w:space="1" w:color="auto"/>
        </w:pBdr>
        <w:jc w:val="center"/>
        <w:rPr>
          <w:b/>
          <w:sz w:val="28"/>
          <w:szCs w:val="28"/>
        </w:rPr>
      </w:pPr>
      <w:r w:rsidRPr="00DE2474">
        <w:rPr>
          <w:b/>
          <w:sz w:val="28"/>
          <w:szCs w:val="28"/>
        </w:rPr>
        <w:t>WTTC PROCLAIMS THE PHILIPPINES AMONG WORLD’S TOP 15 TRAVEL, TOURISM POWERHOUSES</w:t>
      </w:r>
    </w:p>
    <w:p w14:paraId="74F2DB55" w14:textId="17EE4CEA" w:rsidR="00BE3780" w:rsidRPr="00430957" w:rsidRDefault="00BE3780" w:rsidP="00BE3780">
      <w:pPr>
        <w:rPr>
          <w:sz w:val="28"/>
          <w:szCs w:val="28"/>
        </w:rPr>
      </w:pPr>
    </w:p>
    <w:p w14:paraId="23D53B99" w14:textId="286CA9F1" w:rsidR="00BE3780" w:rsidRPr="0007224E" w:rsidRDefault="00BE3780" w:rsidP="00BE3780">
      <w:pPr>
        <w:jc w:val="both"/>
        <w:rPr>
          <w:rFonts w:ascii="Verdana" w:eastAsia="Times New Roman" w:hAnsi="Verdana" w:cs="Times New Roman"/>
          <w:color w:val="222222"/>
          <w:sz w:val="23"/>
          <w:szCs w:val="23"/>
          <w:lang w:eastAsia="en-PH"/>
        </w:rPr>
      </w:pPr>
      <w:r w:rsidRPr="0007224E">
        <w:rPr>
          <w:rFonts w:ascii="Verdana" w:eastAsia="Times New Roman" w:hAnsi="Verdana" w:cs="Times New Roman"/>
          <w:color w:val="222222"/>
          <w:sz w:val="23"/>
          <w:szCs w:val="23"/>
          <w:lang w:eastAsia="en-PH"/>
        </w:rPr>
        <w:t xml:space="preserve">The World Travel &amp; Tourism Council (WTTC)’s Power and Performance Report 2018 pronounced the Philippines as among the top 15 tourism powerhouses, reporting “absolute growth” within the period of 2011 to 2017. The country ranked 13th among 185 </w:t>
      </w:r>
      <w:r w:rsidR="00126442" w:rsidRPr="0007224E">
        <w:rPr>
          <w:rFonts w:ascii="Verdana" w:eastAsia="Times New Roman" w:hAnsi="Verdana" w:cs="Times New Roman"/>
          <w:color w:val="222222"/>
          <w:sz w:val="23"/>
          <w:szCs w:val="23"/>
          <w:lang w:eastAsia="en-PH"/>
        </w:rPr>
        <w:t>countries</w:t>
      </w:r>
      <w:r w:rsidRPr="0007224E">
        <w:rPr>
          <w:rFonts w:ascii="Verdana" w:eastAsia="Times New Roman" w:hAnsi="Verdana" w:cs="Times New Roman"/>
          <w:color w:val="222222"/>
          <w:sz w:val="23"/>
          <w:szCs w:val="23"/>
          <w:lang w:eastAsia="en-PH"/>
        </w:rPr>
        <w:t xml:space="preserve"> assessed on its respective travel and tourism sector’s performance in four main indicators: capital investment, contribution to the gross domestic product (GDP), international visitors spend and domestic spend. </w:t>
      </w:r>
    </w:p>
    <w:p w14:paraId="465C2FD4" w14:textId="77777777" w:rsidR="00BE3780" w:rsidRPr="0007224E" w:rsidRDefault="00BE3780" w:rsidP="00BE3780">
      <w:pPr>
        <w:jc w:val="both"/>
        <w:rPr>
          <w:rFonts w:ascii="Verdana" w:eastAsia="Times New Roman" w:hAnsi="Verdana" w:cs="Times New Roman"/>
          <w:color w:val="222222"/>
          <w:sz w:val="23"/>
          <w:szCs w:val="23"/>
          <w:lang w:eastAsia="en-PH"/>
        </w:rPr>
      </w:pPr>
    </w:p>
    <w:p w14:paraId="59A3AA49" w14:textId="77777777" w:rsidR="00BE3780" w:rsidRPr="0007224E" w:rsidRDefault="00BE3780" w:rsidP="00BE3780">
      <w:pPr>
        <w:jc w:val="both"/>
        <w:rPr>
          <w:rFonts w:ascii="Verdana" w:eastAsia="Times New Roman" w:hAnsi="Verdana" w:cs="Times New Roman"/>
          <w:color w:val="222222"/>
          <w:sz w:val="23"/>
          <w:szCs w:val="23"/>
          <w:lang w:eastAsia="en-PH"/>
        </w:rPr>
      </w:pPr>
      <w:r w:rsidRPr="0007224E">
        <w:rPr>
          <w:rFonts w:ascii="Verdana" w:eastAsia="Times New Roman" w:hAnsi="Verdana" w:cs="Times New Roman"/>
          <w:color w:val="222222"/>
          <w:sz w:val="23"/>
          <w:szCs w:val="23"/>
          <w:lang w:eastAsia="en-PH"/>
        </w:rPr>
        <w:t xml:space="preserve">Remarking that the Philippines is the only country in the top ten to rank for GDP contribution in size and strength, as well as power and performance, this Southeast Asian nation made an additional US$36.5 billion in 2017, growing at an impressive annual rate of 14.2% over the said seven-year period. </w:t>
      </w:r>
    </w:p>
    <w:p w14:paraId="76C89D4A" w14:textId="77777777" w:rsidR="00BE3780" w:rsidRDefault="00BE3780" w:rsidP="00BE3780">
      <w:pPr>
        <w:jc w:val="both"/>
        <w:rPr>
          <w:sz w:val="28"/>
          <w:szCs w:val="28"/>
        </w:rPr>
      </w:pPr>
    </w:p>
    <w:p w14:paraId="094719DF" w14:textId="77777777" w:rsidR="00BE3780" w:rsidRDefault="00BE3780" w:rsidP="00BE3780">
      <w:pPr>
        <w:pStyle w:val="NormalWeb"/>
        <w:shd w:val="clear" w:color="auto" w:fill="FFFFFF"/>
        <w:spacing w:before="0" w:beforeAutospacing="0" w:after="390" w:afterAutospacing="0" w:line="390" w:lineRule="atLeast"/>
        <w:jc w:val="both"/>
        <w:rPr>
          <w:rFonts w:ascii="Verdana" w:hAnsi="Verdana"/>
          <w:color w:val="222222"/>
          <w:sz w:val="23"/>
          <w:szCs w:val="23"/>
        </w:rPr>
      </w:pPr>
      <w:r>
        <w:rPr>
          <w:rFonts w:ascii="Verdana" w:hAnsi="Verdana"/>
          <w:color w:val="222222"/>
          <w:sz w:val="23"/>
          <w:szCs w:val="23"/>
        </w:rPr>
        <w:t>Tourism Secretary Bernadette Romulo-</w:t>
      </w:r>
      <w:proofErr w:type="spellStart"/>
      <w:r>
        <w:rPr>
          <w:rFonts w:ascii="Verdana" w:hAnsi="Verdana"/>
          <w:color w:val="222222"/>
          <w:sz w:val="23"/>
          <w:szCs w:val="23"/>
        </w:rPr>
        <w:t>Puyat</w:t>
      </w:r>
      <w:proofErr w:type="spellEnd"/>
      <w:r>
        <w:rPr>
          <w:rFonts w:ascii="Verdana" w:hAnsi="Verdana"/>
          <w:color w:val="222222"/>
          <w:sz w:val="23"/>
          <w:szCs w:val="23"/>
        </w:rPr>
        <w:t xml:space="preserve"> confirms that Philippine tourism is, indeed, on the rise. Sec. Romulo-</w:t>
      </w:r>
      <w:proofErr w:type="spellStart"/>
      <w:r>
        <w:rPr>
          <w:rFonts w:ascii="Verdana" w:hAnsi="Verdana"/>
          <w:color w:val="222222"/>
          <w:sz w:val="23"/>
          <w:szCs w:val="23"/>
        </w:rPr>
        <w:t>Puyat</w:t>
      </w:r>
      <w:proofErr w:type="spellEnd"/>
      <w:r>
        <w:rPr>
          <w:rFonts w:ascii="Verdana" w:hAnsi="Verdana"/>
          <w:color w:val="222222"/>
          <w:sz w:val="23"/>
          <w:szCs w:val="23"/>
        </w:rPr>
        <w:t xml:space="preserve"> shares over the ministerial round table of Tourism Expo 2018 in Japan that the Philippines is “more than five years ahead” of its domestic tourism targets.</w:t>
      </w:r>
    </w:p>
    <w:p w14:paraId="07B82867" w14:textId="213A68A2" w:rsidR="00BE3780" w:rsidRDefault="00BE3780" w:rsidP="00BE3780">
      <w:pPr>
        <w:pStyle w:val="NormalWeb"/>
        <w:shd w:val="clear" w:color="auto" w:fill="FFFFFF"/>
        <w:spacing w:before="0" w:beforeAutospacing="0" w:after="390" w:afterAutospacing="0" w:line="390" w:lineRule="atLeast"/>
        <w:ind w:right="515"/>
        <w:jc w:val="both"/>
        <w:rPr>
          <w:rFonts w:ascii="Verdana" w:hAnsi="Verdana"/>
          <w:color w:val="222222"/>
          <w:sz w:val="23"/>
          <w:szCs w:val="23"/>
        </w:rPr>
      </w:pPr>
      <w:r>
        <w:rPr>
          <w:rFonts w:ascii="Verdana" w:hAnsi="Verdana"/>
          <w:color w:val="222222"/>
          <w:sz w:val="23"/>
          <w:szCs w:val="23"/>
        </w:rPr>
        <w:t>In 2017, the tourism industry contributed 12.2% to the Philippines’ GDP, exceeding the government 2022 target of 10% share. The Department of Tourism (DOT) Philippines recorded at least 96.7 million domestic tourist arrivals for the same year, well beyond the 2022 target of 86.2 million. 6.62 million International arrivals were noted for 2017, which is a record-high for the Philippines. </w:t>
      </w:r>
    </w:p>
    <w:p w14:paraId="3EF2A739" w14:textId="427F615B" w:rsidR="00BE3780" w:rsidRDefault="00BE3780" w:rsidP="00CF2FC1">
      <w:pPr>
        <w:pStyle w:val="NormalWeb"/>
        <w:shd w:val="clear" w:color="auto" w:fill="FFFFFF"/>
        <w:spacing w:after="390" w:line="390" w:lineRule="atLeast"/>
        <w:ind w:right="656"/>
        <w:jc w:val="both"/>
        <w:rPr>
          <w:rFonts w:ascii="Verdana" w:hAnsi="Verdana"/>
          <w:color w:val="222222"/>
          <w:sz w:val="23"/>
          <w:szCs w:val="23"/>
        </w:rPr>
      </w:pPr>
      <w:r>
        <w:rPr>
          <w:rFonts w:ascii="Verdana" w:hAnsi="Verdana"/>
          <w:color w:val="222222"/>
          <w:sz w:val="23"/>
          <w:szCs w:val="23"/>
        </w:rPr>
        <w:t xml:space="preserve">The Philippines Department of Tourism will be at the World Travel Market in London this week. </w:t>
      </w:r>
      <w:r w:rsidRPr="00BE3780">
        <w:rPr>
          <w:rFonts w:ascii="Verdana" w:hAnsi="Verdana"/>
          <w:color w:val="222222"/>
          <w:sz w:val="23"/>
          <w:szCs w:val="23"/>
        </w:rPr>
        <w:t xml:space="preserve">Mr. Arturo </w:t>
      </w:r>
      <w:proofErr w:type="spellStart"/>
      <w:r w:rsidRPr="00BE3780">
        <w:rPr>
          <w:rFonts w:ascii="Verdana" w:hAnsi="Verdana"/>
          <w:color w:val="222222"/>
          <w:sz w:val="23"/>
          <w:szCs w:val="23"/>
        </w:rPr>
        <w:t>Boncato</w:t>
      </w:r>
      <w:proofErr w:type="spellEnd"/>
      <w:r w:rsidRPr="00BE3780">
        <w:rPr>
          <w:rFonts w:ascii="Verdana" w:hAnsi="Verdana"/>
          <w:color w:val="222222"/>
          <w:sz w:val="23"/>
          <w:szCs w:val="23"/>
        </w:rPr>
        <w:t>, Jr.</w:t>
      </w:r>
      <w:r>
        <w:rPr>
          <w:rFonts w:ascii="Verdana" w:hAnsi="Verdana"/>
          <w:color w:val="222222"/>
          <w:sz w:val="23"/>
          <w:szCs w:val="23"/>
        </w:rPr>
        <w:t>,</w:t>
      </w:r>
      <w:r w:rsidR="00126442">
        <w:rPr>
          <w:rFonts w:ascii="Verdana" w:hAnsi="Verdana"/>
          <w:color w:val="222222"/>
          <w:sz w:val="23"/>
          <w:szCs w:val="23"/>
        </w:rPr>
        <w:t xml:space="preserve"> </w:t>
      </w:r>
      <w:r w:rsidRPr="00BE3780">
        <w:rPr>
          <w:rFonts w:ascii="Verdana" w:hAnsi="Verdana"/>
          <w:color w:val="222222"/>
          <w:sz w:val="23"/>
          <w:szCs w:val="23"/>
        </w:rPr>
        <w:t>Undersecretary, Tourism Regulation Coordination and Resource</w:t>
      </w:r>
      <w:r>
        <w:rPr>
          <w:rFonts w:ascii="Verdana" w:hAnsi="Verdana"/>
          <w:color w:val="222222"/>
          <w:sz w:val="23"/>
          <w:szCs w:val="23"/>
        </w:rPr>
        <w:t xml:space="preserve"> G</w:t>
      </w:r>
      <w:r w:rsidRPr="00BE3780">
        <w:rPr>
          <w:rFonts w:ascii="Verdana" w:hAnsi="Verdana"/>
          <w:color w:val="222222"/>
          <w:sz w:val="23"/>
          <w:szCs w:val="23"/>
        </w:rPr>
        <w:t>eneration (TRCRG), Philippine Department of Tourism (PDOT)</w:t>
      </w:r>
      <w:r>
        <w:rPr>
          <w:rFonts w:ascii="Verdana" w:hAnsi="Verdana"/>
          <w:color w:val="222222"/>
          <w:sz w:val="23"/>
          <w:szCs w:val="23"/>
        </w:rPr>
        <w:t xml:space="preserve"> along with M</w:t>
      </w:r>
      <w:r w:rsidRPr="00BE3780">
        <w:rPr>
          <w:rFonts w:ascii="Verdana" w:hAnsi="Verdana"/>
          <w:color w:val="222222"/>
          <w:sz w:val="23"/>
          <w:szCs w:val="23"/>
        </w:rPr>
        <w:t>s. Marie Venus Q. Tan</w:t>
      </w:r>
      <w:r>
        <w:rPr>
          <w:rFonts w:ascii="Verdana" w:hAnsi="Verdana"/>
          <w:color w:val="222222"/>
          <w:sz w:val="23"/>
          <w:szCs w:val="23"/>
        </w:rPr>
        <w:t xml:space="preserve">, </w:t>
      </w:r>
      <w:r w:rsidRPr="00BE3780">
        <w:rPr>
          <w:rFonts w:ascii="Verdana" w:hAnsi="Verdana"/>
          <w:color w:val="222222"/>
          <w:sz w:val="23"/>
          <w:szCs w:val="23"/>
        </w:rPr>
        <w:t xml:space="preserve">Chief Operating Officer, Tourism Promotions Board (TPB) </w:t>
      </w:r>
      <w:r>
        <w:rPr>
          <w:rFonts w:ascii="Verdana" w:hAnsi="Verdana"/>
          <w:color w:val="222222"/>
          <w:sz w:val="23"/>
          <w:szCs w:val="23"/>
        </w:rPr>
        <w:t>–</w:t>
      </w:r>
      <w:r w:rsidRPr="00BE3780">
        <w:rPr>
          <w:rFonts w:ascii="Verdana" w:hAnsi="Verdana"/>
          <w:color w:val="222222"/>
          <w:sz w:val="23"/>
          <w:szCs w:val="23"/>
        </w:rPr>
        <w:t xml:space="preserve"> Philippines</w:t>
      </w:r>
      <w:r>
        <w:rPr>
          <w:rFonts w:ascii="Verdana" w:hAnsi="Verdana"/>
          <w:color w:val="222222"/>
          <w:sz w:val="23"/>
          <w:szCs w:val="23"/>
        </w:rPr>
        <w:t xml:space="preserve"> would love the opportunity to welcome you at the</w:t>
      </w:r>
      <w:r w:rsidR="00126442">
        <w:rPr>
          <w:rFonts w:ascii="Verdana" w:hAnsi="Verdana"/>
          <w:color w:val="222222"/>
          <w:sz w:val="23"/>
          <w:szCs w:val="23"/>
        </w:rPr>
        <w:t>ir</w:t>
      </w:r>
      <w:r>
        <w:rPr>
          <w:rFonts w:ascii="Verdana" w:hAnsi="Verdana"/>
          <w:color w:val="222222"/>
          <w:sz w:val="23"/>
          <w:szCs w:val="23"/>
        </w:rPr>
        <w:t xml:space="preserve"> stand</w:t>
      </w:r>
      <w:r w:rsidR="00126442">
        <w:rPr>
          <w:rFonts w:ascii="Verdana" w:hAnsi="Verdana"/>
          <w:color w:val="222222"/>
          <w:sz w:val="23"/>
          <w:szCs w:val="23"/>
        </w:rPr>
        <w:t xml:space="preserve"> AS1000. They will </w:t>
      </w:r>
      <w:r w:rsidR="00126442">
        <w:rPr>
          <w:rFonts w:ascii="Verdana" w:hAnsi="Verdana"/>
          <w:color w:val="222222"/>
          <w:sz w:val="23"/>
          <w:szCs w:val="23"/>
        </w:rPr>
        <w:lastRenderedPageBreak/>
        <w:t xml:space="preserve">have </w:t>
      </w:r>
      <w:r w:rsidR="00243CFF">
        <w:rPr>
          <w:rFonts w:ascii="Verdana" w:hAnsi="Verdana"/>
          <w:color w:val="222222"/>
          <w:sz w:val="23"/>
          <w:szCs w:val="23"/>
        </w:rPr>
        <w:t xml:space="preserve">a </w:t>
      </w:r>
      <w:r w:rsidR="00126442">
        <w:rPr>
          <w:rFonts w:ascii="Verdana" w:hAnsi="Verdana"/>
          <w:color w:val="222222"/>
          <w:sz w:val="23"/>
          <w:szCs w:val="23"/>
        </w:rPr>
        <w:t xml:space="preserve">stand opening </w:t>
      </w:r>
      <w:r w:rsidR="00243CFF">
        <w:rPr>
          <w:rFonts w:ascii="Verdana" w:hAnsi="Verdana"/>
          <w:color w:val="222222"/>
          <w:sz w:val="23"/>
          <w:szCs w:val="23"/>
        </w:rPr>
        <w:t xml:space="preserve">event at 10am on Monday, </w:t>
      </w:r>
      <w:r w:rsidR="00220117" w:rsidRPr="00B21DFA">
        <w:rPr>
          <w:noProof/>
          <w:lang w:val="en-GB" w:eastAsia="en-GB"/>
        </w:rPr>
        <w:drawing>
          <wp:anchor distT="0" distB="0" distL="114300" distR="114300" simplePos="0" relativeHeight="251658240" behindDoc="1" locked="0" layoutInCell="1" allowOverlap="1" wp14:anchorId="48C8D754" wp14:editId="24B30CEA">
            <wp:simplePos x="0" y="0"/>
            <wp:positionH relativeFrom="column">
              <wp:posOffset>5633720</wp:posOffset>
            </wp:positionH>
            <wp:positionV relativeFrom="paragraph">
              <wp:posOffset>622300</wp:posOffset>
            </wp:positionV>
            <wp:extent cx="888365" cy="7231380"/>
            <wp:effectExtent l="0" t="0" r="6985" b="7620"/>
            <wp:wrapTight wrapText="bothSides">
              <wp:wrapPolygon edited="0">
                <wp:start x="0" y="0"/>
                <wp:lineTo x="0" y="21566"/>
                <wp:lineTo x="21307" y="21566"/>
                <wp:lineTo x="213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88365" cy="7231380"/>
                    </a:xfrm>
                    <a:prstGeom prst="rect">
                      <a:avLst/>
                    </a:prstGeom>
                  </pic:spPr>
                </pic:pic>
              </a:graphicData>
            </a:graphic>
            <wp14:sizeRelH relativeFrom="page">
              <wp14:pctWidth>0</wp14:pctWidth>
            </wp14:sizeRelH>
            <wp14:sizeRelV relativeFrom="page">
              <wp14:pctHeight>0</wp14:pctHeight>
            </wp14:sizeRelV>
          </wp:anchor>
        </w:drawing>
      </w:r>
      <w:r w:rsidR="00243CFF">
        <w:rPr>
          <w:rFonts w:ascii="Verdana" w:hAnsi="Verdana"/>
          <w:color w:val="222222"/>
          <w:sz w:val="23"/>
          <w:szCs w:val="23"/>
        </w:rPr>
        <w:t>5</w:t>
      </w:r>
      <w:r w:rsidR="00243CFF" w:rsidRPr="00243CFF">
        <w:rPr>
          <w:rFonts w:ascii="Verdana" w:hAnsi="Verdana"/>
          <w:color w:val="222222"/>
          <w:sz w:val="23"/>
          <w:szCs w:val="23"/>
          <w:vertAlign w:val="superscript"/>
        </w:rPr>
        <w:t>th</w:t>
      </w:r>
      <w:r w:rsidR="00243CFF">
        <w:rPr>
          <w:rFonts w:ascii="Verdana" w:hAnsi="Verdana"/>
          <w:color w:val="222222"/>
          <w:sz w:val="23"/>
          <w:szCs w:val="23"/>
        </w:rPr>
        <w:t xml:space="preserve"> November and </w:t>
      </w:r>
      <w:r w:rsidR="00D24DA4">
        <w:rPr>
          <w:rFonts w:ascii="Verdana" w:hAnsi="Verdana"/>
          <w:color w:val="222222"/>
          <w:sz w:val="23"/>
          <w:szCs w:val="23"/>
        </w:rPr>
        <w:t xml:space="preserve">a press and MICE briefing at </w:t>
      </w:r>
      <w:r w:rsidR="00243CFF">
        <w:rPr>
          <w:rFonts w:ascii="Verdana" w:hAnsi="Verdana"/>
          <w:color w:val="222222"/>
          <w:sz w:val="23"/>
          <w:szCs w:val="23"/>
        </w:rPr>
        <w:t>3pm on Tuesday, 6</w:t>
      </w:r>
      <w:r w:rsidR="00243CFF" w:rsidRPr="00243CFF">
        <w:rPr>
          <w:rFonts w:ascii="Verdana" w:hAnsi="Verdana"/>
          <w:color w:val="222222"/>
          <w:sz w:val="23"/>
          <w:szCs w:val="23"/>
          <w:vertAlign w:val="superscript"/>
        </w:rPr>
        <w:t>th</w:t>
      </w:r>
      <w:r w:rsidR="00243CFF">
        <w:rPr>
          <w:rFonts w:ascii="Verdana" w:hAnsi="Verdana"/>
          <w:color w:val="222222"/>
          <w:sz w:val="23"/>
          <w:szCs w:val="23"/>
        </w:rPr>
        <w:t xml:space="preserve"> November. </w:t>
      </w:r>
      <w:r w:rsidR="00126442">
        <w:rPr>
          <w:rFonts w:ascii="Verdana" w:hAnsi="Verdana"/>
          <w:color w:val="222222"/>
          <w:sz w:val="23"/>
          <w:szCs w:val="23"/>
        </w:rPr>
        <w:t>They will have serving so</w:t>
      </w:r>
      <w:r w:rsidR="00243CFF">
        <w:rPr>
          <w:rFonts w:ascii="Verdana" w:hAnsi="Verdana"/>
          <w:color w:val="222222"/>
          <w:sz w:val="23"/>
          <w:szCs w:val="23"/>
        </w:rPr>
        <w:t>me traditional food &amp; drinks and giving away several prizes.</w:t>
      </w:r>
    </w:p>
    <w:p w14:paraId="49376F9A" w14:textId="0EFED63C" w:rsidR="00243CFF" w:rsidRDefault="004427DA" w:rsidP="0007224E">
      <w:pPr>
        <w:pStyle w:val="NormalWeb"/>
        <w:shd w:val="clear" w:color="auto" w:fill="FFFFFF"/>
        <w:spacing w:after="390" w:line="390" w:lineRule="atLeast"/>
        <w:ind w:right="940"/>
        <w:jc w:val="center"/>
        <w:rPr>
          <w:rFonts w:ascii="Verdana" w:hAnsi="Verdana"/>
          <w:color w:val="222222"/>
          <w:sz w:val="23"/>
          <w:szCs w:val="23"/>
        </w:rPr>
      </w:pPr>
      <w:r w:rsidRPr="004427DA">
        <w:rPr>
          <w:rFonts w:ascii="Verdana" w:hAnsi="Verdana"/>
          <w:noProof/>
          <w:color w:val="222222"/>
          <w:sz w:val="23"/>
          <w:szCs w:val="23"/>
          <w:lang w:val="en-GB" w:eastAsia="en-GB"/>
        </w:rPr>
        <w:drawing>
          <wp:inline distT="0" distB="0" distL="0" distR="0" wp14:anchorId="2EB238DC" wp14:editId="5B29889C">
            <wp:extent cx="5124450" cy="3839335"/>
            <wp:effectExtent l="0" t="0" r="0" b="8890"/>
            <wp:docPr id="4" name="Picture 4" descr="C:\Users\JLacana\AppData\Local\Microsoft\Windows\INetCache\Content.Outlook\1RDJ7JMQ\New Boracay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cana\AppData\Local\Microsoft\Windows\INetCache\Content.Outlook\1RDJ7JMQ\New Boracay Phot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261" cy="3845936"/>
                    </a:xfrm>
                    <a:prstGeom prst="rect">
                      <a:avLst/>
                    </a:prstGeom>
                    <a:noFill/>
                    <a:ln>
                      <a:noFill/>
                    </a:ln>
                  </pic:spPr>
                </pic:pic>
              </a:graphicData>
            </a:graphic>
          </wp:inline>
        </w:drawing>
      </w:r>
    </w:p>
    <w:p w14:paraId="778F3795" w14:textId="4C543E19" w:rsidR="0007224E" w:rsidRDefault="0007224E" w:rsidP="0007224E">
      <w:pPr>
        <w:pStyle w:val="NormalWeb"/>
        <w:shd w:val="clear" w:color="auto" w:fill="FFFFFF"/>
        <w:spacing w:after="390" w:line="390" w:lineRule="atLeast"/>
        <w:ind w:right="940"/>
        <w:jc w:val="center"/>
        <w:rPr>
          <w:rFonts w:ascii="Verdana" w:hAnsi="Verdana"/>
          <w:i/>
          <w:color w:val="222222"/>
          <w:sz w:val="23"/>
          <w:szCs w:val="23"/>
        </w:rPr>
      </w:pPr>
      <w:proofErr w:type="spellStart"/>
      <w:r>
        <w:rPr>
          <w:rFonts w:ascii="Verdana" w:hAnsi="Verdana"/>
          <w:i/>
          <w:color w:val="222222"/>
          <w:sz w:val="23"/>
          <w:szCs w:val="23"/>
        </w:rPr>
        <w:t>Boracay</w:t>
      </w:r>
      <w:proofErr w:type="spellEnd"/>
    </w:p>
    <w:p w14:paraId="56DF1F5F" w14:textId="77777777" w:rsidR="0007224E" w:rsidRPr="0007224E" w:rsidRDefault="0007224E" w:rsidP="0007224E">
      <w:pPr>
        <w:pStyle w:val="NormalWeb"/>
        <w:shd w:val="clear" w:color="auto" w:fill="FFFFFF"/>
        <w:spacing w:after="390" w:line="390" w:lineRule="atLeast"/>
        <w:ind w:right="940"/>
        <w:jc w:val="center"/>
        <w:rPr>
          <w:rFonts w:ascii="Verdana" w:hAnsi="Verdana"/>
          <w:i/>
          <w:color w:val="222222"/>
          <w:sz w:val="23"/>
          <w:szCs w:val="23"/>
        </w:rPr>
      </w:pPr>
      <w:bookmarkStart w:id="0" w:name="_GoBack"/>
      <w:bookmarkEnd w:id="0"/>
    </w:p>
    <w:p w14:paraId="6EC13791" w14:textId="14D8A734" w:rsidR="00243CFF" w:rsidRDefault="00243CFF" w:rsidP="0007224E">
      <w:pPr>
        <w:pStyle w:val="NormalWeb"/>
        <w:shd w:val="clear" w:color="auto" w:fill="FFFFFF"/>
        <w:spacing w:after="390" w:line="390" w:lineRule="atLeast"/>
        <w:ind w:right="940"/>
        <w:jc w:val="center"/>
        <w:rPr>
          <w:rFonts w:ascii="Verdana" w:hAnsi="Verdana"/>
          <w:color w:val="222222"/>
          <w:sz w:val="23"/>
          <w:szCs w:val="23"/>
        </w:rPr>
      </w:pPr>
      <w:r>
        <w:rPr>
          <w:rFonts w:ascii="Verdana" w:hAnsi="Verdana"/>
          <w:color w:val="222222"/>
          <w:sz w:val="23"/>
          <w:szCs w:val="23"/>
        </w:rPr>
        <w:t xml:space="preserve">For more information, please go to </w:t>
      </w:r>
      <w:hyperlink r:id="rId7" w:history="1">
        <w:r w:rsidRPr="00863B5E">
          <w:rPr>
            <w:rStyle w:val="Hyperlink"/>
            <w:rFonts w:ascii="Verdana" w:hAnsi="Verdana"/>
            <w:sz w:val="23"/>
            <w:szCs w:val="23"/>
          </w:rPr>
          <w:t>www.itsmorfuninthephilippines.co.uk</w:t>
        </w:r>
      </w:hyperlink>
    </w:p>
    <w:p w14:paraId="1DA0B5CD" w14:textId="64C424EF" w:rsidR="00243CFF" w:rsidRDefault="00243CFF" w:rsidP="00243CFF">
      <w:pPr>
        <w:pStyle w:val="NormalWeb"/>
        <w:shd w:val="clear" w:color="auto" w:fill="FFFFFF"/>
        <w:spacing w:after="390" w:line="390" w:lineRule="atLeast"/>
        <w:ind w:right="940"/>
        <w:jc w:val="both"/>
        <w:rPr>
          <w:rFonts w:ascii="Verdana" w:hAnsi="Verdana"/>
          <w:color w:val="222222"/>
          <w:sz w:val="23"/>
          <w:szCs w:val="23"/>
        </w:rPr>
      </w:pPr>
    </w:p>
    <w:p w14:paraId="7E77C4AC" w14:textId="494611BC" w:rsidR="00126442" w:rsidRDefault="00126442" w:rsidP="00BE3780">
      <w:pPr>
        <w:pStyle w:val="NormalWeb"/>
        <w:shd w:val="clear" w:color="auto" w:fill="FFFFFF"/>
        <w:spacing w:after="390" w:line="390" w:lineRule="atLeast"/>
        <w:jc w:val="both"/>
        <w:rPr>
          <w:rFonts w:ascii="Verdana" w:hAnsi="Verdana"/>
          <w:color w:val="222222"/>
          <w:sz w:val="23"/>
          <w:szCs w:val="23"/>
        </w:rPr>
      </w:pPr>
    </w:p>
    <w:p w14:paraId="5EEB797D" w14:textId="1B4C7231" w:rsidR="00603E5A" w:rsidRPr="00B21DFA" w:rsidRDefault="0007224E" w:rsidP="00243CFF">
      <w:pPr>
        <w:jc w:val="center"/>
      </w:pPr>
    </w:p>
    <w:sectPr w:rsidR="00603E5A" w:rsidRPr="00B21DFA" w:rsidSect="00B21DFA">
      <w:pgSz w:w="11900"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FA"/>
    <w:rsid w:val="0007224E"/>
    <w:rsid w:val="00126442"/>
    <w:rsid w:val="00220117"/>
    <w:rsid w:val="00233E43"/>
    <w:rsid w:val="00243CFF"/>
    <w:rsid w:val="003B359D"/>
    <w:rsid w:val="004427DA"/>
    <w:rsid w:val="0059244A"/>
    <w:rsid w:val="00684B8B"/>
    <w:rsid w:val="00B21DFA"/>
    <w:rsid w:val="00BE3780"/>
    <w:rsid w:val="00CF2FC1"/>
    <w:rsid w:val="00D24DA4"/>
    <w:rsid w:val="00F169B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790B"/>
  <w15:chartTrackingRefBased/>
  <w15:docId w15:val="{376FC832-5245-BE4A-8577-89C4EE31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3780"/>
    <w:pPr>
      <w:spacing w:before="100" w:beforeAutospacing="1" w:after="100" w:afterAutospacing="1"/>
    </w:pPr>
    <w:rPr>
      <w:rFonts w:ascii="Times New Roman" w:eastAsia="Times New Roman" w:hAnsi="Times New Roman" w:cs="Times New Roman"/>
      <w:lang w:eastAsia="en-PH"/>
    </w:rPr>
  </w:style>
  <w:style w:type="character" w:styleId="CommentReference">
    <w:name w:val="annotation reference"/>
    <w:basedOn w:val="DefaultParagraphFont"/>
    <w:uiPriority w:val="99"/>
    <w:semiHidden/>
    <w:unhideWhenUsed/>
    <w:rsid w:val="00BE3780"/>
    <w:rPr>
      <w:sz w:val="16"/>
      <w:szCs w:val="16"/>
    </w:rPr>
  </w:style>
  <w:style w:type="paragraph" w:styleId="CommentText">
    <w:name w:val="annotation text"/>
    <w:basedOn w:val="Normal"/>
    <w:link w:val="CommentTextChar"/>
    <w:uiPriority w:val="99"/>
    <w:semiHidden/>
    <w:unhideWhenUsed/>
    <w:rsid w:val="00BE3780"/>
    <w:rPr>
      <w:sz w:val="20"/>
      <w:szCs w:val="20"/>
    </w:rPr>
  </w:style>
  <w:style w:type="character" w:customStyle="1" w:styleId="CommentTextChar">
    <w:name w:val="Comment Text Char"/>
    <w:basedOn w:val="DefaultParagraphFont"/>
    <w:link w:val="CommentText"/>
    <w:uiPriority w:val="99"/>
    <w:semiHidden/>
    <w:rsid w:val="00BE3780"/>
    <w:rPr>
      <w:sz w:val="20"/>
      <w:szCs w:val="20"/>
    </w:rPr>
  </w:style>
  <w:style w:type="paragraph" w:styleId="CommentSubject">
    <w:name w:val="annotation subject"/>
    <w:basedOn w:val="CommentText"/>
    <w:next w:val="CommentText"/>
    <w:link w:val="CommentSubjectChar"/>
    <w:uiPriority w:val="99"/>
    <w:semiHidden/>
    <w:unhideWhenUsed/>
    <w:rsid w:val="00BE3780"/>
    <w:rPr>
      <w:b/>
      <w:bCs/>
    </w:rPr>
  </w:style>
  <w:style w:type="character" w:customStyle="1" w:styleId="CommentSubjectChar">
    <w:name w:val="Comment Subject Char"/>
    <w:basedOn w:val="CommentTextChar"/>
    <w:link w:val="CommentSubject"/>
    <w:uiPriority w:val="99"/>
    <w:semiHidden/>
    <w:rsid w:val="00BE3780"/>
    <w:rPr>
      <w:b/>
      <w:bCs/>
      <w:sz w:val="20"/>
      <w:szCs w:val="20"/>
    </w:rPr>
  </w:style>
  <w:style w:type="paragraph" w:styleId="BalloonText">
    <w:name w:val="Balloon Text"/>
    <w:basedOn w:val="Normal"/>
    <w:link w:val="BalloonTextChar"/>
    <w:uiPriority w:val="99"/>
    <w:semiHidden/>
    <w:unhideWhenUsed/>
    <w:rsid w:val="00BE3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780"/>
    <w:rPr>
      <w:rFonts w:ascii="Segoe UI" w:hAnsi="Segoe UI" w:cs="Segoe UI"/>
      <w:sz w:val="18"/>
      <w:szCs w:val="18"/>
    </w:rPr>
  </w:style>
  <w:style w:type="character" w:styleId="Hyperlink">
    <w:name w:val="Hyperlink"/>
    <w:basedOn w:val="DefaultParagraphFont"/>
    <w:uiPriority w:val="99"/>
    <w:unhideWhenUsed/>
    <w:rsid w:val="00243C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9709">
      <w:bodyDiv w:val="1"/>
      <w:marLeft w:val="0"/>
      <w:marRight w:val="0"/>
      <w:marTop w:val="0"/>
      <w:marBottom w:val="0"/>
      <w:divBdr>
        <w:top w:val="none" w:sz="0" w:space="0" w:color="auto"/>
        <w:left w:val="none" w:sz="0" w:space="0" w:color="auto"/>
        <w:bottom w:val="none" w:sz="0" w:space="0" w:color="auto"/>
        <w:right w:val="none" w:sz="0" w:space="0" w:color="auto"/>
      </w:divBdr>
    </w:div>
    <w:div w:id="85349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itsmorfuninthephilippine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Joy Lacana</cp:lastModifiedBy>
  <cp:revision>8</cp:revision>
  <dcterms:created xsi:type="dcterms:W3CDTF">2018-11-04T21:58:00Z</dcterms:created>
  <dcterms:modified xsi:type="dcterms:W3CDTF">2018-11-05T07:49:00Z</dcterms:modified>
</cp:coreProperties>
</file>